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ffffff"/>
          <w:sz w:val="90"/>
          <w:szCs w:val="90"/>
          <w:shd w:val="clear" w:color="auto" w:fill="7313dc"/>
          <w:rtl w:val="0"/>
          <w:lang w:val="en-US"/>
          <w14:textFill>
            <w14:solidFill>
              <w14:srgbClr w14:val="FFFFFF"/>
            </w14:solidFill>
          </w14:textFill>
        </w:rPr>
        <w:t>Creating Safe Spaces...</w:t>
      </w:r>
      <w:r>
        <w:rPr>
          <w:rFonts w:ascii="Times Roman" w:hAnsi="Times Roman"/>
          <w:b w:val="1"/>
          <w:bCs w:val="1"/>
          <w:outline w:val="0"/>
          <w:color w:val="ffffff"/>
          <w:sz w:val="117"/>
          <w:szCs w:val="117"/>
          <w:shd w:val="clear" w:color="auto" w:fill="7313dc"/>
          <w:rtl w:val="0"/>
          <w14:textFill>
            <w14:solidFill>
              <w14:srgbClr w14:val="FFFFFF"/>
            </w14:solidFill>
          </w14:textFill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72"/>
          <w:szCs w:val="72"/>
          <w:shd w:val="clear" w:color="auto" w:fill="ffffff"/>
          <w:rtl w:val="0"/>
          <w:lang w:val="en-US"/>
        </w:rPr>
        <w:t>Practical ways to make the young person</w:t>
      </w:r>
      <w:r>
        <w:rPr>
          <w:rFonts w:ascii="Times Roman" w:hAnsi="Times Roman" w:hint="default"/>
          <w:b w:val="1"/>
          <w:bCs w:val="1"/>
          <w:sz w:val="72"/>
          <w:szCs w:val="72"/>
          <w:shd w:val="clear" w:color="auto" w:fill="ffffff"/>
          <w:rtl w:val="1"/>
        </w:rPr>
        <w:t>’</w:t>
      </w:r>
      <w:r>
        <w:rPr>
          <w:rFonts w:ascii="Times Roman" w:hAnsi="Times Roman"/>
          <w:b w:val="1"/>
          <w:bCs w:val="1"/>
          <w:sz w:val="72"/>
          <w:szCs w:val="72"/>
          <w:shd w:val="clear" w:color="auto" w:fill="ffffff"/>
          <w:rtl w:val="0"/>
          <w:lang w:val="en-US"/>
        </w:rPr>
        <w:t xml:space="preserve">s journey through Scouting safe: </w:t>
      </w: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 xml:space="preserve">Share the Yellow Card with parents and young people </w:t>
      </w: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 xml:space="preserve">Ensure there is a culture of transparency and openness </w:t>
      </w: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>Follow the rules, don</w:t>
      </w:r>
      <w:r>
        <w:rPr>
          <w:rFonts w:ascii="Times Roman" w:hAnsi="Times Roman" w:hint="default"/>
          <w:sz w:val="56"/>
          <w:szCs w:val="56"/>
          <w:shd w:val="clear" w:color="auto" w:fill="ffffff"/>
          <w:rtl w:val="1"/>
        </w:rPr>
        <w:t>’</w:t>
      </w: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>t allow boundary violations</w:t>
      </w: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>Build and maintain strong and open relationships</w:t>
      </w: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>Create a culture of challenge - to keeps all safe</w:t>
      </w:r>
    </w:p>
    <w:p>
      <w:pPr>
        <w:pStyle w:val="Default"/>
        <w:numPr>
          <w:ilvl w:val="0"/>
          <w:numId w:val="3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>Embed e-safety and anti-bullying work within the programme</w:t>
      </w:r>
      <w:r>
        <w:rPr>
          <w:rFonts w:ascii="Arial" w:cs="Arial" w:hAnsi="Arial" w:eastAsia="Arial"/>
          <w:sz w:val="64"/>
          <w:szCs w:val="64"/>
          <w:shd w:val="clear" w:color="auto" w:fill="ffffff"/>
          <w:rtl w:val="0"/>
        </w:rPr>
        <w:br w:type="textWrapping"/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0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6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7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