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able Style 2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color w:val="505050"/>
          <w:sz w:val="26"/>
          <w:szCs w:val="26"/>
          <w:rtl w:val="0"/>
        </w:rPr>
      </w:pPr>
      <w:r>
        <w:rPr>
          <w:rFonts w:ascii="Tahoma" w:hAnsi="Tahoma"/>
          <w:b w:val="1"/>
          <w:bCs w:val="1"/>
          <w:color w:val="505050"/>
          <w:sz w:val="26"/>
          <w:szCs w:val="26"/>
          <w:rtl w:val="0"/>
          <w:lang w:val="en-US"/>
        </w:rPr>
        <w:t>Ofcom - Children and Parents: Media Use and Attitudes Report 2018</w:t>
      </w:r>
    </w:p>
    <w:p>
      <w:pPr>
        <w:pStyle w:val="Table Style 2"/>
        <w:bidi w:val="0"/>
        <w:ind w:left="0" w:right="0" w:firstLine="0"/>
        <w:jc w:val="left"/>
        <w:rPr>
          <w:rFonts w:ascii="Tahoma" w:cs="Tahoma" w:hAnsi="Tahoma" w:eastAsia="Tahoma"/>
          <w:color w:val="505050"/>
          <w:sz w:val="26"/>
          <w:szCs w:val="26"/>
          <w:rtl w:val="0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Main findings: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TV sets and tablets dominate device usage.</w:t>
      </w:r>
    </w:p>
    <w:p>
      <w:pPr>
        <w:pStyle w:val="Table Style 2"/>
        <w:numPr>
          <w:ilvl w:val="1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TV set usage decreasing, half of children and young people now watching on other devices and using Amazon Prime, Netflix etc. as primary source for viewing.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YouTube is the main platform of choice for most.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Online gaming on the increase, now three quarters of 5-15's.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TV and social media important for news, but concerns over accuracy of news on social media.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Majority of 12-15's think critically about the websites they are visiting, but only one third understand search engine advertising.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Children more likely to admit exposure to unwanted experiences than last year;</w:t>
      </w:r>
      <w:r>
        <w:rPr>
          <w:rFonts w:ascii="Tahoma" w:hAnsi="Tahoma" w:hint="default"/>
          <w:color w:val="505050"/>
          <w:sz w:val="26"/>
          <w:szCs w:val="26"/>
          <w:rtl w:val="0"/>
        </w:rPr>
        <w:t> </w:t>
      </w:r>
      <w:r>
        <w:rPr>
          <w:rFonts w:ascii="Tahoma" w:hAnsi="Tahoma"/>
          <w:color w:val="505050"/>
          <w:sz w:val="26"/>
          <w:szCs w:val="26"/>
          <w:rtl w:val="0"/>
          <w:lang w:val="en-US"/>
        </w:rPr>
        <w:t>almost all recall being taught how to use the internet safely.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Parents say controlling screentime has become harder; 12-15's say they believe they have struck a good balance.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Parental concerns about the internet are rising (the balance of positive over negative has tipped towards negative).</w:t>
      </w:r>
    </w:p>
    <w:p>
      <w:pPr>
        <w:pStyle w:val="Table Style 2"/>
        <w:numPr>
          <w:ilvl w:val="0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Unwanted experiences:</w:t>
      </w:r>
    </w:p>
    <w:p>
      <w:pPr>
        <w:pStyle w:val="Table Style 2"/>
        <w:numPr>
          <w:ilvl w:val="1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10% of 8-11 year olds and 20% of 12-15 year olds have experienced some form of bullying.</w:t>
      </w:r>
    </w:p>
    <w:p>
      <w:pPr>
        <w:pStyle w:val="Table Style 2"/>
        <w:numPr>
          <w:ilvl w:val="1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16% of 8-11 year olds and 31% of 12-15 year olds have seen something worrying or nasty.</w:t>
      </w:r>
    </w:p>
    <w:p>
      <w:pPr>
        <w:pStyle w:val="Table Style 2"/>
        <w:numPr>
          <w:ilvl w:val="1"/>
          <w:numId w:val="2"/>
        </w:numPr>
        <w:bidi w:val="0"/>
        <w:ind w:right="0"/>
        <w:jc w:val="left"/>
        <w:rPr>
          <w:rFonts w:ascii="Tahoma" w:hAnsi="Tahoma"/>
          <w:color w:val="505050"/>
          <w:sz w:val="26"/>
          <w:szCs w:val="26"/>
          <w:rtl w:val="0"/>
          <w:lang w:val="en-US"/>
        </w:rPr>
      </w:pPr>
      <w:r>
        <w:rPr>
          <w:rFonts w:ascii="Tahoma" w:hAnsi="Tahoma"/>
          <w:color w:val="505050"/>
          <w:sz w:val="26"/>
          <w:szCs w:val="26"/>
          <w:rtl w:val="0"/>
          <w:lang w:val="en-US"/>
        </w:rPr>
        <w:t>But nearly all say they would tell someone, such as a family member.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5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